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pPr>
      <w:r>
        <w:rPr>
          <w:rFonts w:ascii="Arial" w:hAnsi="Arial" w:eastAsia="Arial"/>
          <w:b/>
          <w:color w:val="C7A14F"/>
          <w:sz w:val="32"/>
        </w:rPr>
        <w:t>كلية الحقوق – جامعة النهرين</w:t>
      </w:r>
    </w:p>
    <w:p>
      <w:pPr>
        <w:jc w:val="center"/>
        <w:bidi/>
      </w:pPr>
      <w:r>
        <w:rPr>
          <w:rFonts w:ascii="Arial" w:hAnsi="Arial" w:eastAsia="Arial"/>
          <w:b/>
          <w:color w:val="12233E"/>
          <w:sz w:val="50"/>
        </w:rPr>
        <w:t>مقارنة قانونية</w:t>
      </w:r>
    </w:p>
    <w:p>
      <w:pPr>
        <w:jc w:val="center"/>
        <w:bidi/>
      </w:pPr>
      <w:r>
        <w:rPr>
          <w:rFonts w:ascii="Arial" w:hAnsi="Arial" w:eastAsia="Arial"/>
          <w:b/>
          <w:color w:val="12233E"/>
          <w:sz w:val="36"/>
        </w:rPr>
        <w:t>بين أحكام الإيجار في القانون المدني العراقي</w:t>
        <w:br/>
        <w:t>وقانون إيجار العقار رقم 87 لسنة 1979 المعدل</w:t>
      </w:r>
    </w:p>
    <w:p/>
    <w:p/>
    <w:p>
      <w:pPr>
        <w:jc w:val="center"/>
        <w:bidi/>
      </w:pPr>
      <w:r>
        <w:rPr>
          <w:rFonts w:ascii="Arial" w:hAnsi="Arial" w:eastAsia="Arial"/>
          <w:sz w:val="32"/>
        </w:rPr>
        <w:t>إعداد وتقديم</w:t>
        <w:br/>
        <w:t>د. شامل إبراهيم ماجد جراح الغريري</w:t>
      </w:r>
    </w:p>
    <w:p>
      <w:r>
        <w:br w:type="page"/>
      </w:r>
    </w:p>
    <w:p>
      <w:pPr>
        <w:pStyle w:val="Heading1"/>
        <w:jc w:val="right"/>
        <w:bidi/>
      </w:pPr>
      <w:r>
        <w:rPr>
          <w:rFonts w:ascii="Arial" w:hAnsi="Arial" w:eastAsia="Arial"/>
          <w:color w:val="12233E"/>
          <w:rtl/>
        </w:rPr>
        <w:t>مقدمة</w:t>
      </w:r>
    </w:p>
    <w:p>
      <w:pPr>
        <w:jc w:val="right"/>
        <w:bidi/>
      </w:pPr>
      <w:r>
        <w:rPr>
          <w:rFonts w:ascii="Arial" w:hAnsi="Arial" w:eastAsia="Arial"/>
          <w:sz w:val="22"/>
          <w:rtl/>
        </w:rPr>
        <w:t>تتمثل الفكرة الأساسية في أن القانون المدني العراقي رقم 40 لسنة 1951 يضع القواعد العامة لعقد الإيجار، في حين يتضمن قانون إيجار العقار رقم 87 لسنة 1979 المعدل أحكاماً خاصة بالعقارات التي تدخل ضمن نطاق تطبيقه، ولا سيما ما يتعلق بامتداد العلاقة الإيجارية والإخلاء والأجرة.</w:t>
      </w:r>
    </w:p>
    <w:p>
      <w:pPr>
        <w:jc w:val="right"/>
        <w:bidi/>
      </w:pPr>
      <w:r>
        <w:rPr>
          <w:rFonts w:ascii="Arial" w:hAnsi="Arial" w:eastAsia="Arial"/>
          <w:sz w:val="22"/>
          <w:rtl/>
        </w:rPr>
        <w:t>ولا يعني ذلك أن أحد القانونين يلغي الآخر في جميع المسائل؛ بل يجب تحديد ما إذا كان العقار والعقد مشمولين بالقانون الخاص أولاً، ثم تطبيق أحكامه الخاصة في المسائل التي نظمها، والرجوع إلى القانون المدني فيما لم ينظمه وبما لا يتعارض معه.</w:t>
      </w:r>
    </w:p>
    <w:p>
      <w:pPr>
        <w:pStyle w:val="Heading1"/>
        <w:jc w:val="right"/>
        <w:bidi/>
      </w:pPr>
      <w:r>
        <w:rPr>
          <w:rFonts w:ascii="Arial" w:hAnsi="Arial" w:eastAsia="Arial"/>
          <w:color w:val="12233E"/>
          <w:rtl/>
        </w:rPr>
        <w:t>أولاً: جدول المقارنة</w:t>
      </w:r>
    </w:p>
    <w:tbl>
      <w:tblPr>
        <w:tblStyle w:val="TableGrid"/>
        <w:tblW w:type="auto" w:w="0"/>
        <w:jc w:val="center"/>
        <w:tblLook w:firstColumn="1" w:firstRow="1" w:lastColumn="0" w:lastRow="0" w:noHBand="0" w:noVBand="1" w:val="04A0"/>
      </w:tblPr>
      <w:tblGrid>
        <w:gridCol w:w="3360"/>
        <w:gridCol w:w="3360"/>
        <w:gridCol w:w="3360"/>
      </w:tblGrid>
      <w:tr>
        <w:tc>
          <w:tcPr>
            <w:tcW w:type="dxa" w:w="2160"/>
            <w:vAlign w:val="center"/>
            <w:shd w:fill="12233E"/>
          </w:tcPr>
          <w:p>
            <w:pPr>
              <w:jc w:val="right"/>
              <w:bidi/>
            </w:pPr>
            <w:r/>
            <w:r>
              <w:rPr>
                <w:rFonts w:ascii="Arial" w:hAnsi="Arial" w:eastAsia="Arial"/>
                <w:b/>
                <w:color w:val="FFFFFF"/>
                <w:sz w:val="19"/>
                <w:rtl/>
              </w:rPr>
              <w:t>وجه المقارنة</w:t>
            </w:r>
          </w:p>
        </w:tc>
        <w:tc>
          <w:tcPr>
            <w:tcW w:type="dxa" w:w="3816"/>
            <w:vAlign w:val="center"/>
            <w:shd w:fill="12233E"/>
          </w:tcPr>
          <w:p>
            <w:pPr>
              <w:jc w:val="right"/>
              <w:bidi/>
            </w:pPr>
            <w:r/>
            <w:r>
              <w:rPr>
                <w:rFonts w:ascii="Arial" w:hAnsi="Arial" w:eastAsia="Arial"/>
                <w:b/>
                <w:color w:val="FFFFFF"/>
                <w:sz w:val="19"/>
                <w:rtl/>
              </w:rPr>
              <w:t>القانون المدني العراقي رقم 40 لسنة 1951</w:t>
            </w:r>
          </w:p>
        </w:tc>
        <w:tc>
          <w:tcPr>
            <w:tcW w:type="dxa" w:w="3816"/>
            <w:vAlign w:val="center"/>
            <w:shd w:fill="12233E"/>
          </w:tcPr>
          <w:p>
            <w:pPr>
              <w:jc w:val="right"/>
              <w:bidi/>
            </w:pPr>
            <w:r/>
            <w:r>
              <w:rPr>
                <w:rFonts w:ascii="Arial" w:hAnsi="Arial" w:eastAsia="Arial"/>
                <w:b/>
                <w:color w:val="FFFFFF"/>
                <w:sz w:val="19"/>
                <w:rtl/>
              </w:rPr>
              <w:t>قانون إيجار العقار رقم 87 لسنة 1979 المعدل</w:t>
            </w:r>
          </w:p>
        </w:tc>
      </w:tr>
      <w:tr>
        <w:tc>
          <w:tcPr>
            <w:tcW w:type="dxa" w:w="2160"/>
            <w:vAlign w:val="center"/>
            <w:shd w:fill="E8EDF3"/>
          </w:tcPr>
          <w:p>
            <w:pPr>
              <w:jc w:val="right"/>
              <w:bidi/>
            </w:pPr>
            <w:r/>
            <w:r>
              <w:rPr>
                <w:rFonts w:ascii="Arial" w:hAnsi="Arial" w:eastAsia="Arial"/>
                <w:b/>
                <w:color w:val="26303E"/>
                <w:sz w:val="18"/>
                <w:rtl/>
              </w:rPr>
              <w:t>الطبيعة القانونية</w:t>
            </w:r>
          </w:p>
        </w:tc>
        <w:tc>
          <w:tcPr>
            <w:tcW w:type="dxa" w:w="3816"/>
            <w:vAlign w:val="center"/>
          </w:tcPr>
          <w:p>
            <w:pPr>
              <w:jc w:val="right"/>
              <w:bidi/>
            </w:pPr>
            <w:r/>
            <w:r>
              <w:rPr>
                <w:rFonts w:ascii="Arial" w:hAnsi="Arial" w:eastAsia="Arial"/>
                <w:b w:val="0"/>
                <w:color w:val="26303E"/>
                <w:sz w:val="18"/>
                <w:rtl/>
              </w:rPr>
              <w:t>القانون العام الذي ينظم عقد الإيجار ضمن القواعد العامة للعقود.</w:t>
            </w:r>
          </w:p>
        </w:tc>
        <w:tc>
          <w:tcPr>
            <w:tcW w:type="dxa" w:w="3816"/>
            <w:vAlign w:val="center"/>
          </w:tcPr>
          <w:p>
            <w:pPr>
              <w:jc w:val="right"/>
              <w:bidi/>
            </w:pPr>
            <w:r/>
            <w:r>
              <w:rPr>
                <w:rFonts w:ascii="Arial" w:hAnsi="Arial" w:eastAsia="Arial"/>
                <w:b w:val="0"/>
                <w:color w:val="26303E"/>
                <w:sz w:val="18"/>
                <w:rtl/>
              </w:rPr>
              <w:t>قانون خاص يتضمن أحكاماً خاصة أو استثنائية للعقارات المشمولة به.</w:t>
            </w:r>
          </w:p>
        </w:tc>
      </w:tr>
      <w:tr>
        <w:tc>
          <w:tcPr>
            <w:tcW w:type="dxa" w:w="2160"/>
            <w:vAlign w:val="center"/>
            <w:shd w:fill="E8EDF3"/>
          </w:tcPr>
          <w:p>
            <w:pPr>
              <w:jc w:val="right"/>
              <w:bidi/>
            </w:pPr>
            <w:r/>
            <w:r>
              <w:rPr>
                <w:rFonts w:ascii="Arial" w:hAnsi="Arial" w:eastAsia="Arial"/>
                <w:b/>
                <w:color w:val="26303E"/>
                <w:sz w:val="18"/>
                <w:rtl/>
              </w:rPr>
              <w:t>نطاق التطبيق</w:t>
            </w:r>
          </w:p>
        </w:tc>
        <w:tc>
          <w:tcPr>
            <w:tcW w:type="dxa" w:w="3816"/>
            <w:vAlign w:val="center"/>
          </w:tcPr>
          <w:p>
            <w:pPr>
              <w:jc w:val="right"/>
              <w:bidi/>
            </w:pPr>
            <w:r/>
            <w:r>
              <w:rPr>
                <w:rFonts w:ascii="Arial" w:hAnsi="Arial" w:eastAsia="Arial"/>
                <w:b w:val="0"/>
                <w:color w:val="26303E"/>
                <w:sz w:val="18"/>
                <w:rtl/>
              </w:rPr>
              <w:t>يسري على الإيجارات التي ينظمها، ومنها الإيجارات الخارجة عن نطاق القانون الخاص، مع مراعاة أي قانون خاص آخر.</w:t>
            </w:r>
          </w:p>
        </w:tc>
        <w:tc>
          <w:tcPr>
            <w:tcW w:type="dxa" w:w="3816"/>
            <w:vAlign w:val="center"/>
          </w:tcPr>
          <w:p>
            <w:pPr>
              <w:jc w:val="right"/>
              <w:bidi/>
            </w:pPr>
            <w:r/>
            <w:r>
              <w:rPr>
                <w:rFonts w:ascii="Arial" w:hAnsi="Arial" w:eastAsia="Arial"/>
                <w:b w:val="0"/>
                <w:color w:val="26303E"/>
                <w:sz w:val="18"/>
                <w:rtl/>
              </w:rPr>
              <w:t>يسري وفق المادة الأولى المعدلة على العقارات المبنية المؤجرة للسكنى للعراقيين ضمن حدود أمانة بغداد والبلديات، مع مراعاة الاستثناءات القانونية.</w:t>
            </w:r>
          </w:p>
        </w:tc>
      </w:tr>
      <w:tr>
        <w:tc>
          <w:tcPr>
            <w:tcW w:type="dxa" w:w="2160"/>
            <w:vAlign w:val="center"/>
            <w:shd w:fill="E8EDF3"/>
          </w:tcPr>
          <w:p>
            <w:pPr>
              <w:jc w:val="right"/>
              <w:bidi/>
            </w:pPr>
            <w:r/>
            <w:r>
              <w:rPr>
                <w:rFonts w:ascii="Arial" w:hAnsi="Arial" w:eastAsia="Arial"/>
                <w:b/>
                <w:color w:val="26303E"/>
                <w:sz w:val="18"/>
                <w:rtl/>
              </w:rPr>
              <w:t>تحديد مدة الإيجار</w:t>
            </w:r>
          </w:p>
        </w:tc>
        <w:tc>
          <w:tcPr>
            <w:tcW w:type="dxa" w:w="3816"/>
            <w:vAlign w:val="center"/>
          </w:tcPr>
          <w:p>
            <w:pPr>
              <w:jc w:val="right"/>
              <w:bidi/>
            </w:pPr>
            <w:r/>
            <w:r>
              <w:rPr>
                <w:rFonts w:ascii="Arial" w:hAnsi="Arial" w:eastAsia="Arial"/>
                <w:b w:val="0"/>
                <w:color w:val="26303E"/>
                <w:sz w:val="18"/>
                <w:rtl/>
              </w:rPr>
              <w:t>تحدد المدة وفق العقد والقواعد المدنية ذات الصلة.</w:t>
            </w:r>
          </w:p>
        </w:tc>
        <w:tc>
          <w:tcPr>
            <w:tcW w:type="dxa" w:w="3816"/>
            <w:vAlign w:val="center"/>
          </w:tcPr>
          <w:p>
            <w:pPr>
              <w:jc w:val="right"/>
              <w:bidi/>
            </w:pPr>
            <w:r/>
            <w:r>
              <w:rPr>
                <w:rFonts w:ascii="Arial" w:hAnsi="Arial" w:eastAsia="Arial"/>
                <w:b w:val="0"/>
                <w:color w:val="26303E"/>
                <w:sz w:val="18"/>
                <w:rtl/>
              </w:rPr>
              <w:t>تنظم المادة الثانية المدة، وتقرر عند عدم تعيينها مدة سنة وفق التفصيل الوارد في النص.</w:t>
            </w:r>
          </w:p>
        </w:tc>
      </w:tr>
      <w:tr>
        <w:tc>
          <w:tcPr>
            <w:tcW w:type="dxa" w:w="2160"/>
            <w:vAlign w:val="center"/>
            <w:shd w:fill="E8EDF3"/>
          </w:tcPr>
          <w:p>
            <w:pPr>
              <w:jc w:val="right"/>
              <w:bidi/>
            </w:pPr>
            <w:r/>
            <w:r>
              <w:rPr>
                <w:rFonts w:ascii="Arial" w:hAnsi="Arial" w:eastAsia="Arial"/>
                <w:b/>
                <w:color w:val="26303E"/>
                <w:sz w:val="18"/>
                <w:rtl/>
              </w:rPr>
              <w:t>انتهاء المدة</w:t>
            </w:r>
          </w:p>
        </w:tc>
        <w:tc>
          <w:tcPr>
            <w:tcW w:type="dxa" w:w="3816"/>
            <w:vAlign w:val="center"/>
          </w:tcPr>
          <w:p>
            <w:pPr>
              <w:jc w:val="right"/>
              <w:bidi/>
            </w:pPr>
            <w:r/>
            <w:r>
              <w:rPr>
                <w:rFonts w:ascii="Arial" w:hAnsi="Arial" w:eastAsia="Arial"/>
                <w:b w:val="0"/>
                <w:color w:val="26303E"/>
                <w:sz w:val="18"/>
                <w:rtl/>
              </w:rPr>
              <w:t>تبحث آثاره وفق أحكام القانون المدني وشروط العقد.</w:t>
            </w:r>
          </w:p>
        </w:tc>
        <w:tc>
          <w:tcPr>
            <w:tcW w:type="dxa" w:w="3816"/>
            <w:vAlign w:val="center"/>
          </w:tcPr>
          <w:p>
            <w:pPr>
              <w:jc w:val="right"/>
              <w:bidi/>
            </w:pPr>
            <w:r/>
            <w:r>
              <w:rPr>
                <w:rFonts w:ascii="Arial" w:hAnsi="Arial" w:eastAsia="Arial"/>
                <w:b w:val="0"/>
                <w:color w:val="26303E"/>
                <w:sz w:val="18"/>
                <w:rtl/>
              </w:rPr>
              <w:t>تقرر المادة الثالثة، من حيث الأصل، امتداد العقد بعد انتهاء مدته ما دام المستأجر شاغلاً العقار ومستمرّاً بدفع الأجرة، مع مراعاة الاستثناءات.</w:t>
            </w:r>
          </w:p>
        </w:tc>
      </w:tr>
      <w:tr>
        <w:tc>
          <w:tcPr>
            <w:tcW w:type="dxa" w:w="2160"/>
            <w:vAlign w:val="center"/>
            <w:shd w:fill="E8EDF3"/>
          </w:tcPr>
          <w:p>
            <w:pPr>
              <w:jc w:val="right"/>
              <w:bidi/>
            </w:pPr>
            <w:r/>
            <w:r>
              <w:rPr>
                <w:rFonts w:ascii="Arial" w:hAnsi="Arial" w:eastAsia="Arial"/>
                <w:b/>
                <w:color w:val="26303E"/>
                <w:sz w:val="18"/>
                <w:rtl/>
              </w:rPr>
              <w:t>الأجرة</w:t>
            </w:r>
          </w:p>
        </w:tc>
        <w:tc>
          <w:tcPr>
            <w:tcW w:type="dxa" w:w="3816"/>
            <w:vAlign w:val="center"/>
          </w:tcPr>
          <w:p>
            <w:pPr>
              <w:jc w:val="right"/>
              <w:bidi/>
            </w:pPr>
            <w:r/>
            <w:r>
              <w:rPr>
                <w:rFonts w:ascii="Arial" w:hAnsi="Arial" w:eastAsia="Arial"/>
                <w:b w:val="0"/>
                <w:color w:val="26303E"/>
                <w:sz w:val="18"/>
                <w:rtl/>
              </w:rPr>
              <w:t>الأصل أن تحدد باتفاق الطرفين، وفق القواعد القانونية المطبقة.</w:t>
            </w:r>
          </w:p>
        </w:tc>
        <w:tc>
          <w:tcPr>
            <w:tcW w:type="dxa" w:w="3816"/>
            <w:vAlign w:val="center"/>
          </w:tcPr>
          <w:p>
            <w:pPr>
              <w:jc w:val="right"/>
              <w:bidi/>
            </w:pPr>
            <w:r/>
            <w:r>
              <w:rPr>
                <w:rFonts w:ascii="Arial" w:hAnsi="Arial" w:eastAsia="Arial"/>
                <w:b w:val="0"/>
                <w:color w:val="26303E"/>
                <w:sz w:val="18"/>
                <w:rtl/>
              </w:rPr>
              <w:t>يتضمن أحكاماً خاصة بتحديد الأجرة أو تقديرها وآلية دفعها للعقارات المشمولة.</w:t>
            </w:r>
          </w:p>
        </w:tc>
      </w:tr>
      <w:tr>
        <w:tc>
          <w:tcPr>
            <w:tcW w:type="dxa" w:w="2160"/>
            <w:vAlign w:val="center"/>
            <w:shd w:fill="E8EDF3"/>
          </w:tcPr>
          <w:p>
            <w:pPr>
              <w:jc w:val="right"/>
              <w:bidi/>
            </w:pPr>
            <w:r/>
            <w:r>
              <w:rPr>
                <w:rFonts w:ascii="Arial" w:hAnsi="Arial" w:eastAsia="Arial"/>
                <w:b/>
                <w:color w:val="26303E"/>
                <w:sz w:val="18"/>
                <w:rtl/>
              </w:rPr>
              <w:t>إخلاء العقار</w:t>
            </w:r>
          </w:p>
        </w:tc>
        <w:tc>
          <w:tcPr>
            <w:tcW w:type="dxa" w:w="3816"/>
            <w:vAlign w:val="center"/>
          </w:tcPr>
          <w:p>
            <w:pPr>
              <w:jc w:val="right"/>
              <w:bidi/>
            </w:pPr>
            <w:r/>
            <w:r>
              <w:rPr>
                <w:rFonts w:ascii="Arial" w:hAnsi="Arial" w:eastAsia="Arial"/>
                <w:b w:val="0"/>
                <w:color w:val="26303E"/>
                <w:sz w:val="18"/>
                <w:rtl/>
              </w:rPr>
              <w:t>تحكمه القواعد المدنية وأحكام العقد، مع مراعاة التشريعات الخاصة المنطبقة.</w:t>
            </w:r>
          </w:p>
        </w:tc>
        <w:tc>
          <w:tcPr>
            <w:tcW w:type="dxa" w:w="3816"/>
            <w:vAlign w:val="center"/>
          </w:tcPr>
          <w:p>
            <w:pPr>
              <w:jc w:val="right"/>
              <w:bidi/>
            </w:pPr>
            <w:r/>
            <w:r>
              <w:rPr>
                <w:rFonts w:ascii="Arial" w:hAnsi="Arial" w:eastAsia="Arial"/>
                <w:b w:val="0"/>
                <w:color w:val="26303E"/>
                <w:sz w:val="18"/>
                <w:rtl/>
              </w:rPr>
              <w:t>تحدد المادة 17 أسباباً خاصة لطلب التخلية وشروطها وإجراءاتها.</w:t>
            </w:r>
          </w:p>
        </w:tc>
      </w:tr>
      <w:tr>
        <w:tc>
          <w:tcPr>
            <w:tcW w:type="dxa" w:w="2160"/>
            <w:vAlign w:val="center"/>
            <w:shd w:fill="E8EDF3"/>
          </w:tcPr>
          <w:p>
            <w:pPr>
              <w:jc w:val="right"/>
              <w:bidi/>
            </w:pPr>
            <w:r/>
            <w:r>
              <w:rPr>
                <w:rFonts w:ascii="Arial" w:hAnsi="Arial" w:eastAsia="Arial"/>
                <w:b/>
                <w:color w:val="26303E"/>
                <w:sz w:val="18"/>
                <w:rtl/>
              </w:rPr>
              <w:t>شكل العقد وإجراءاته</w:t>
            </w:r>
          </w:p>
        </w:tc>
        <w:tc>
          <w:tcPr>
            <w:tcW w:type="dxa" w:w="3816"/>
            <w:vAlign w:val="center"/>
          </w:tcPr>
          <w:p>
            <w:pPr>
              <w:jc w:val="right"/>
              <w:bidi/>
            </w:pPr>
            <w:r/>
            <w:r>
              <w:rPr>
                <w:rFonts w:ascii="Arial" w:hAnsi="Arial" w:eastAsia="Arial"/>
                <w:b w:val="0"/>
                <w:color w:val="26303E"/>
                <w:sz w:val="18"/>
                <w:rtl/>
              </w:rPr>
              <w:t>تسري القواعد العامة المتعلقة بانعقاد العقد وإثباته، بحسب الحالة.</w:t>
            </w:r>
          </w:p>
        </w:tc>
        <w:tc>
          <w:tcPr>
            <w:tcW w:type="dxa" w:w="3816"/>
            <w:vAlign w:val="center"/>
          </w:tcPr>
          <w:p>
            <w:pPr>
              <w:jc w:val="right"/>
              <w:bidi/>
            </w:pPr>
            <w:r/>
            <w:r>
              <w:rPr>
                <w:rFonts w:ascii="Arial" w:hAnsi="Arial" w:eastAsia="Arial"/>
                <w:b w:val="0"/>
                <w:color w:val="26303E"/>
                <w:sz w:val="18"/>
                <w:rtl/>
              </w:rPr>
              <w:t>يتضمن أحكاماً خاصة بشأن تحرير عقد الإيجار وإيداع نسخة لدى دائرة ضريبة العقار للعقارات التي يشملها القانون.</w:t>
            </w:r>
          </w:p>
        </w:tc>
      </w:tr>
      <w:tr>
        <w:tc>
          <w:tcPr>
            <w:tcW w:type="dxa" w:w="2160"/>
            <w:vAlign w:val="center"/>
            <w:shd w:fill="E8EDF3"/>
          </w:tcPr>
          <w:p>
            <w:pPr>
              <w:jc w:val="right"/>
              <w:bidi/>
            </w:pPr>
            <w:r/>
            <w:r>
              <w:rPr>
                <w:rFonts w:ascii="Arial" w:hAnsi="Arial" w:eastAsia="Arial"/>
                <w:b/>
                <w:color w:val="26303E"/>
                <w:sz w:val="18"/>
                <w:rtl/>
              </w:rPr>
              <w:t>حرية الاتفاق</w:t>
            </w:r>
          </w:p>
        </w:tc>
        <w:tc>
          <w:tcPr>
            <w:tcW w:type="dxa" w:w="3816"/>
            <w:vAlign w:val="center"/>
          </w:tcPr>
          <w:p>
            <w:pPr>
              <w:jc w:val="right"/>
              <w:bidi/>
            </w:pPr>
            <w:r/>
            <w:r>
              <w:rPr>
                <w:rFonts w:ascii="Arial" w:hAnsi="Arial" w:eastAsia="Arial"/>
                <w:b w:val="0"/>
                <w:color w:val="26303E"/>
                <w:sz w:val="18"/>
                <w:rtl/>
              </w:rPr>
              <w:t>تسود حرية الاتفاق في المسائل التي يتركها القانون لإرادة المتعاقدين.</w:t>
            </w:r>
          </w:p>
        </w:tc>
        <w:tc>
          <w:tcPr>
            <w:tcW w:type="dxa" w:w="3816"/>
            <w:vAlign w:val="center"/>
          </w:tcPr>
          <w:p>
            <w:pPr>
              <w:jc w:val="right"/>
              <w:bidi/>
            </w:pPr>
            <w:r/>
            <w:r>
              <w:rPr>
                <w:rFonts w:ascii="Arial" w:hAnsi="Arial" w:eastAsia="Arial"/>
                <w:b w:val="0"/>
                <w:color w:val="26303E"/>
                <w:sz w:val="18"/>
                <w:rtl/>
              </w:rPr>
              <w:t>تقيّد الأحكام الآمرة حرية الاتفاق متى كانت واجبة التطبيق.</w:t>
            </w:r>
          </w:p>
        </w:tc>
      </w:tr>
    </w:tbl>
    <w:p>
      <w:pPr>
        <w:pStyle w:val="Heading1"/>
        <w:jc w:val="right"/>
        <w:bidi/>
      </w:pPr>
      <w:r>
        <w:rPr>
          <w:rFonts w:ascii="Arial" w:hAnsi="Arial" w:eastAsia="Arial"/>
          <w:color w:val="12233E"/>
          <w:rtl/>
        </w:rPr>
        <w:t>ثانياً: أهم الفروق القانونية</w:t>
      </w:r>
    </w:p>
    <w:p>
      <w:pPr>
        <w:pStyle w:val="Heading2"/>
        <w:jc w:val="right"/>
        <w:bidi/>
      </w:pPr>
      <w:r>
        <w:rPr>
          <w:rFonts w:ascii="Arial" w:hAnsi="Arial" w:eastAsia="Arial"/>
          <w:rtl/>
        </w:rPr>
        <w:t>1. امتداد عقد الإيجار بعد انتهاء المدة</w:t>
      </w:r>
    </w:p>
    <w:p>
      <w:pPr>
        <w:jc w:val="right"/>
        <w:bidi/>
      </w:pPr>
      <w:r>
        <w:rPr>
          <w:rFonts w:ascii="Arial" w:hAnsi="Arial" w:eastAsia="Arial"/>
          <w:sz w:val="22"/>
          <w:rtl/>
        </w:rPr>
        <w:t>من أبرز الفروق العملية أن المادة الثالثة من قانون إيجار العقار تقرر، من حيث الأصل، امتداد العقد ما دام المستأجر شاغلاً العقار ومستمرّاً بدفع الأجرة، مع مراعاة الاستثناءات الواردة في القانون.</w:t>
      </w:r>
    </w:p>
    <w:p>
      <w:pPr>
        <w:jc w:val="right"/>
        <w:bidi/>
      </w:pPr>
      <w:r>
        <w:rPr>
          <w:rFonts w:ascii="Arial" w:hAnsi="Arial" w:eastAsia="Arial"/>
          <w:sz w:val="22"/>
          <w:rtl/>
        </w:rPr>
        <w:t>ويُراعى الاستثناء المتعلق بالعقارات السكنية المبنية حديثاً التي اكتمل بناؤها في 1/1/1998 أو بعده، إذ تكون مدة نفاذ عقد إيجارها وفق اتفاق الطرفين، بحسب النص المعدل.</w:t>
      </w:r>
    </w:p>
    <w:p>
      <w:pPr>
        <w:pStyle w:val="Heading2"/>
        <w:jc w:val="right"/>
        <w:bidi/>
      </w:pPr>
      <w:r>
        <w:rPr>
          <w:rFonts w:ascii="Arial" w:hAnsi="Arial" w:eastAsia="Arial"/>
          <w:rtl/>
        </w:rPr>
        <w:t>2. أسباب التخلية</w:t>
      </w:r>
    </w:p>
    <w:p>
      <w:pPr>
        <w:jc w:val="right"/>
        <w:bidi/>
      </w:pPr>
      <w:r>
        <w:rPr>
          <w:rFonts w:ascii="Arial" w:hAnsi="Arial" w:eastAsia="Arial"/>
          <w:sz w:val="22"/>
          <w:rtl/>
        </w:rPr>
        <w:t>في العقارات المشمولة بالقانون الخاص، لا يكفي افتراض أن انتهاء المدة يوجب الإخلاء تلقائياً؛ بل يجب فحص أسباب التخلية المنصوص عليها في المادة 17، والتحقق من توافر شروط السبب القانوني والإجراءات اللازمة.</w:t>
      </w:r>
    </w:p>
    <w:p>
      <w:pPr>
        <w:jc w:val="right"/>
        <w:bidi/>
      </w:pPr>
      <w:r>
        <w:rPr>
          <w:rFonts w:ascii="Arial" w:hAnsi="Arial" w:eastAsia="Arial"/>
          <w:sz w:val="22"/>
          <w:rtl/>
        </w:rPr>
        <w:t>وعليه، ينبغي التمييز بين انتهاء المدة وفق العقد وبين جواز طلب التخلية قانوناً؛ فقد لا يؤدي الأول وحده إلى الثاني في نطاق القانون الخاص.</w:t>
      </w:r>
    </w:p>
    <w:p>
      <w:pPr>
        <w:pStyle w:val="Heading2"/>
        <w:jc w:val="right"/>
        <w:bidi/>
      </w:pPr>
      <w:r>
        <w:rPr>
          <w:rFonts w:ascii="Arial" w:hAnsi="Arial" w:eastAsia="Arial"/>
          <w:rtl/>
        </w:rPr>
        <w:t>3. تحديد الأجرة ودفعها</w:t>
      </w:r>
    </w:p>
    <w:p>
      <w:pPr>
        <w:jc w:val="right"/>
        <w:bidi/>
      </w:pPr>
      <w:r>
        <w:rPr>
          <w:rFonts w:ascii="Arial" w:hAnsi="Arial" w:eastAsia="Arial"/>
          <w:sz w:val="22"/>
          <w:rtl/>
        </w:rPr>
        <w:t>في الإيجار الخاضع للقواعد المدنية العامة، يكون لاتفاق الطرفين دور أساسي في تحديد الأجرة ضمن حدود القانون. أما قانون إيجار العقار فيتضمن قواعد خاصة بشأن الأجرة ودفعها للعقارات المشمولة، ولذلك يجب فحص أحكامه قبل تقرير مدى حرية الطرفين في الاتفاق.</w:t>
      </w:r>
    </w:p>
    <w:p>
      <w:pPr>
        <w:pStyle w:val="Heading2"/>
        <w:jc w:val="right"/>
        <w:bidi/>
      </w:pPr>
      <w:r>
        <w:rPr>
          <w:rFonts w:ascii="Arial" w:hAnsi="Arial" w:eastAsia="Arial"/>
          <w:rtl/>
        </w:rPr>
        <w:t>4. نطاق تطبيق القانون الخاص</w:t>
      </w:r>
    </w:p>
    <w:p>
      <w:pPr>
        <w:jc w:val="right"/>
        <w:bidi/>
      </w:pPr>
      <w:r>
        <w:rPr>
          <w:rFonts w:ascii="Arial" w:hAnsi="Arial" w:eastAsia="Arial"/>
          <w:sz w:val="22"/>
          <w:rtl/>
        </w:rPr>
        <w:t>وفق المادة الأولى المعدلة، لا يشمل قانون إيجار العقار جميع أنواع الإيجارات دون تمييز. ومن الاستثناءات التي ينبغي فحصها العقارات السكنية التي تؤجرها الدولة أو الأشخاص المعنوية العامة للعاملين فيها، والعقارات المستثناة وفق النص، وحالات إيجار العقارات لغير العراقيين وفق صياغة المادة.</w:t>
      </w:r>
    </w:p>
    <w:p>
      <w:pPr>
        <w:jc w:val="right"/>
        <w:bidi/>
      </w:pPr>
      <w:r>
        <w:rPr>
          <w:rFonts w:ascii="Arial" w:hAnsi="Arial" w:eastAsia="Arial"/>
          <w:sz w:val="22"/>
          <w:rtl/>
        </w:rPr>
        <w:t>كما ينبغي التحقق من التشريعات الخاصة الأخرى عند تعلق الأمر بإيجار تجاري أو بعقار ذي نظام قانوني خاص، وعدم تطبيق أحكام الإيجار السكني عليه تلقائياً.</w:t>
      </w:r>
    </w:p>
    <w:p>
      <w:pPr>
        <w:pStyle w:val="Heading1"/>
        <w:jc w:val="right"/>
        <w:bidi/>
      </w:pPr>
      <w:r>
        <w:rPr>
          <w:rFonts w:ascii="Arial" w:hAnsi="Arial" w:eastAsia="Arial"/>
          <w:color w:val="12233E"/>
          <w:rtl/>
        </w:rPr>
        <w:t>ثالثاً: أمثلة تطبيقية</w:t>
      </w:r>
    </w:p>
    <w:p>
      <w:pPr>
        <w:pStyle w:val="Heading2"/>
        <w:jc w:val="right"/>
        <w:bidi/>
      </w:pPr>
      <w:r>
        <w:rPr>
          <w:rFonts w:ascii="Arial" w:hAnsi="Arial" w:eastAsia="Arial"/>
          <w:rtl/>
        </w:rPr>
        <w:t>المثال الأول: دار سكنية مشمولة بالقانون الخاص</w:t>
      </w:r>
    </w:p>
    <w:p>
      <w:pPr>
        <w:jc w:val="right"/>
        <w:bidi/>
      </w:pPr>
      <w:r>
        <w:rPr>
          <w:rFonts w:ascii="Arial" w:hAnsi="Arial" w:eastAsia="Arial"/>
          <w:sz w:val="22"/>
          <w:rtl/>
        </w:rPr>
        <w:t>استأجر شخص عراقي داراً للسكن في بغداد لمدة سنة، وانتهت المدة، لكنه بقي في الدار واستمر بدفع الأجرة. تُبحث هنا أحكام امتداد العقد وفق المادة الثالثة، ولا يُفترض أن انتهاء السنة وحده يوجب الإخلاء.</w:t>
      </w:r>
    </w:p>
    <w:p>
      <w:pPr>
        <w:pStyle w:val="Heading2"/>
        <w:jc w:val="right"/>
        <w:bidi/>
      </w:pPr>
      <w:r>
        <w:rPr>
          <w:rFonts w:ascii="Arial" w:hAnsi="Arial" w:eastAsia="Arial"/>
          <w:rtl/>
        </w:rPr>
        <w:t>المثال الثاني: دار سكنية مكتمل بناؤها بعد 1/1/1998</w:t>
      </w:r>
    </w:p>
    <w:p>
      <w:pPr>
        <w:jc w:val="right"/>
        <w:bidi/>
      </w:pPr>
      <w:r>
        <w:rPr>
          <w:rFonts w:ascii="Arial" w:hAnsi="Arial" w:eastAsia="Arial"/>
          <w:sz w:val="22"/>
          <w:rtl/>
        </w:rPr>
        <w:t>إذا انتهت مدة إيجار دار اكتمل بناؤها سنة 2005، فيجب مراعاة الاستثناء الوارد في المادة الثالثة بشأن العقارات المحددة في النص، حيث تكون مدة نفاذ العقد وفق اتفاق الطرفين.</w:t>
      </w:r>
    </w:p>
    <w:p>
      <w:pPr>
        <w:pStyle w:val="Heading2"/>
        <w:jc w:val="right"/>
        <w:bidi/>
      </w:pPr>
      <w:r>
        <w:rPr>
          <w:rFonts w:ascii="Arial" w:hAnsi="Arial" w:eastAsia="Arial"/>
          <w:rtl/>
        </w:rPr>
        <w:t>المثال الثالث: عقار تجاري</w:t>
      </w:r>
    </w:p>
    <w:p>
      <w:pPr>
        <w:jc w:val="right"/>
        <w:bidi/>
      </w:pPr>
      <w:r>
        <w:rPr>
          <w:rFonts w:ascii="Arial" w:hAnsi="Arial" w:eastAsia="Arial"/>
          <w:sz w:val="22"/>
          <w:rtl/>
        </w:rPr>
        <w:t>إذا استأجر شخص محلاً تجارياً، فلا يجوز افتراض سريان الأحكام الخاصة بالإيجار السكني عليه تلقائياً. يجب تحديد طبيعة العقار والغرض من الإيجار والتحقق من القانون الخاص المنطبق، ثم الرجوع إلى القانون المدني عند الاقتضاء.</w:t>
      </w:r>
    </w:p>
    <w:p>
      <w:pPr>
        <w:pStyle w:val="Heading1"/>
        <w:jc w:val="right"/>
        <w:bidi/>
      </w:pPr>
      <w:r>
        <w:rPr>
          <w:rFonts w:ascii="Arial" w:hAnsi="Arial" w:eastAsia="Arial"/>
          <w:color w:val="12233E"/>
          <w:rtl/>
        </w:rPr>
        <w:t>رابعاً: الخلاصة</w:t>
      </w:r>
    </w:p>
    <w:p>
      <w:pPr>
        <w:jc w:val="right"/>
        <w:bidi/>
      </w:pPr>
      <w:r>
        <w:rPr>
          <w:rFonts w:ascii="Arial" w:hAnsi="Arial" w:eastAsia="Arial"/>
          <w:sz w:val="22"/>
          <w:rtl/>
        </w:rPr>
        <w:t>إذا كان العقار مشمولاً بقانون إيجار العقار رقم 87 لسنة 1979 المعدل، فتُطبّق أحكامه الخاصة أولاً في المسائل التي نظمها، ويُرجع إلى القانون المدني فيما لم يرد فيه نص خاص، وبما لا يتعارض مع أحكام القانون الخاص.</w:t>
      </w:r>
    </w:p>
    <w:p>
      <w:pPr>
        <w:jc w:val="right"/>
        <w:bidi/>
      </w:pPr>
      <w:r>
        <w:rPr>
          <w:rFonts w:ascii="Arial" w:hAnsi="Arial" w:eastAsia="Arial"/>
          <w:sz w:val="22"/>
          <w:rtl/>
        </w:rPr>
        <w:t>أما إذا كان العقار خارج نطاق القانون الخاص، فيُبحث تطبيق القانون المدني أو أي قانون خاص آخر بحسب طبيعة العقار والغرض من الإيجار.</w:t>
      </w:r>
    </w:p>
    <w:p>
      <w:pPr>
        <w:pStyle w:val="Heading1"/>
        <w:jc w:val="right"/>
        <w:bidi/>
      </w:pPr>
      <w:r>
        <w:rPr>
          <w:rFonts w:ascii="Arial" w:hAnsi="Arial" w:eastAsia="Arial"/>
          <w:color w:val="12233E"/>
          <w:rtl/>
        </w:rPr>
        <w:t>المصادر والملاحظات</w:t>
      </w:r>
    </w:p>
    <w:p>
      <w:pPr>
        <w:jc w:val="right"/>
        <w:bidi/>
      </w:pPr>
      <w:r>
        <w:rPr>
          <w:rFonts w:ascii="Arial" w:hAnsi="Arial" w:eastAsia="Arial"/>
          <w:sz w:val="22"/>
          <w:rtl/>
        </w:rPr>
        <w:t>1. القانون المدني العراقي رقم 40 لسنة 1951 وتعديلاته.</w:t>
      </w:r>
    </w:p>
    <w:p>
      <w:pPr>
        <w:jc w:val="right"/>
        <w:bidi/>
      </w:pPr>
      <w:r>
        <w:rPr>
          <w:rFonts w:ascii="Arial" w:hAnsi="Arial" w:eastAsia="Arial"/>
          <w:sz w:val="22"/>
          <w:rtl/>
        </w:rPr>
        <w:t>2. قانون إيجار العقار رقم 87 لسنة 1979 وتعديلاته، مع مراجعة النص الرسمي النافذ.</w:t>
      </w:r>
    </w:p>
    <w:p>
      <w:pPr>
        <w:jc w:val="right"/>
        <w:bidi/>
      </w:pPr>
      <w:r>
        <w:rPr>
          <w:rFonts w:ascii="Arial" w:hAnsi="Arial" w:eastAsia="Arial"/>
          <w:sz w:val="22"/>
          <w:rtl/>
        </w:rPr>
        <w:t>3. العقد وملاحقه والوقائع المتعلقة بطبيعة العقار والغرض من الإيجار وتاريخ بنائه.</w:t>
      </w:r>
    </w:p>
    <w:p>
      <w:pPr>
        <w:jc w:val="right"/>
        <w:bidi/>
      </w:pPr>
      <w:r>
        <w:rPr>
          <w:rFonts w:ascii="Arial" w:hAnsi="Arial" w:eastAsia="Arial"/>
          <w:sz w:val="22"/>
          <w:rtl/>
        </w:rPr>
        <w:t>ملاحظة أكاديمية: هذه المقارنة لأغراض الدراسة العامة. عند بحث نزاع فعلي، ينبغي تدقيق التعديلات النافذة، ونطاق تطبيق القانون، وطبيعة العقار، وتاريخ اكتمال بنائه، والغرض من الإيجار، وأي تشريع خاص منطبق.</w:t>
      </w:r>
    </w:p>
    <w:p>
      <w:pPr>
        <w:jc w:val="right"/>
        <w:bidi/>
      </w:pPr>
      <w:r>
        <w:rPr>
          <w:rFonts w:ascii="Arial" w:hAnsi="Arial" w:eastAsia="Arial"/>
          <w:sz w:val="22"/>
          <w:rtl/>
        </w:rPr>
        <w:t>روابط التشريعات:</w:t>
      </w:r>
    </w:p>
    <w:p>
      <w:pPr>
        <w:jc w:val="right"/>
        <w:bidi/>
      </w:pPr>
      <w:r>
        <w:rPr>
          <w:rFonts w:ascii="Arial" w:hAnsi="Arial" w:eastAsia="Arial"/>
          <w:sz w:val="22"/>
          <w:rtl/>
        </w:rPr>
        <w:t>قاعدة التشريعات العراقية – قانون إيجار العقار: https://iraqld.msla.iq/legislations/showlegislation?lawbookid=16586</w:t>
      </w:r>
    </w:p>
    <w:p>
      <w:pPr>
        <w:jc w:val="right"/>
        <w:bidi/>
      </w:pPr>
      <w:r>
        <w:rPr>
          <w:rFonts w:ascii="Arial" w:hAnsi="Arial" w:eastAsia="Arial"/>
          <w:sz w:val="22"/>
          <w:rtl/>
        </w:rPr>
        <w:t>قاعدة التشريعات العراقية – القانون المدني: https://iraqld.msla.iq/legislations/showlegislation?lawbookid=27297</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pPr>
    <w:r>
      <w:rPr>
        <w:rFonts w:ascii="Arial" w:hAnsi="Arial" w:eastAsia="Arial"/>
        <w:color w:val="646F7D"/>
        <w:sz w:val="16"/>
        <w:rtl/>
      </w:rPr>
      <w:t>د. شامل إبراهيم ماجد جراح الغريري  |  كلية الحقوق – جامعة النهرين</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6303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